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41542" w14:textId="2E432975" w:rsidR="00241451" w:rsidRPr="003E1D23" w:rsidRDefault="009010CB" w:rsidP="00B878E2">
      <w:pPr>
        <w:pStyle w:val="NoSpacing"/>
        <w:jc w:val="center"/>
        <w:rPr>
          <w:rFonts w:ascii="Verdana" w:hAnsi="Verdana"/>
          <w:b/>
          <w:sz w:val="28"/>
          <w:szCs w:val="28"/>
        </w:rPr>
      </w:pPr>
      <w:r w:rsidRPr="003E1D23">
        <w:rPr>
          <w:rFonts w:ascii="Verdana" w:hAnsi="Verdana"/>
          <w:b/>
          <w:sz w:val="28"/>
          <w:szCs w:val="28"/>
        </w:rPr>
        <w:t>Model Notice of Case Status</w:t>
      </w:r>
    </w:p>
    <w:p w14:paraId="100696F3" w14:textId="77777777" w:rsidR="000D38CC" w:rsidRDefault="000D38CC" w:rsidP="00F61C17">
      <w:pPr>
        <w:pStyle w:val="NoSpacing"/>
        <w:rPr>
          <w:rFonts w:ascii="Verdana" w:hAnsi="Verdana"/>
          <w:i/>
          <w:sz w:val="20"/>
          <w:szCs w:val="20"/>
        </w:rPr>
      </w:pPr>
    </w:p>
    <w:p w14:paraId="25806706" w14:textId="77777777" w:rsidR="000D38CC" w:rsidRDefault="000D38CC" w:rsidP="00F61C17">
      <w:pPr>
        <w:pStyle w:val="NoSpacing"/>
        <w:rPr>
          <w:rFonts w:ascii="Verdana" w:hAnsi="Verdana"/>
          <w:i/>
          <w:sz w:val="20"/>
          <w:szCs w:val="20"/>
        </w:rPr>
      </w:pPr>
    </w:p>
    <w:p w14:paraId="0E3A8995" w14:textId="77777777" w:rsidR="000D38CC" w:rsidRDefault="000D38CC" w:rsidP="00F61C17">
      <w:pPr>
        <w:pStyle w:val="NoSpacing"/>
        <w:rPr>
          <w:rFonts w:ascii="Verdana" w:hAnsi="Verdana"/>
          <w:i/>
          <w:sz w:val="20"/>
          <w:szCs w:val="20"/>
        </w:rPr>
      </w:pPr>
    </w:p>
    <w:p w14:paraId="6EB41543" w14:textId="49FD1C7B" w:rsidR="00241451" w:rsidRPr="009010CB" w:rsidRDefault="00241451" w:rsidP="00F61C17">
      <w:pPr>
        <w:pStyle w:val="NoSpacing"/>
        <w:rPr>
          <w:rFonts w:ascii="Verdana" w:hAnsi="Verdana"/>
          <w:i/>
          <w:sz w:val="20"/>
          <w:szCs w:val="20"/>
        </w:rPr>
      </w:pPr>
      <w:r w:rsidRPr="009010CB">
        <w:rPr>
          <w:rFonts w:ascii="Verdana" w:hAnsi="Verdana"/>
          <w:i/>
          <w:sz w:val="20"/>
          <w:szCs w:val="20"/>
        </w:rPr>
        <w:t>&lt;Date&gt;</w:t>
      </w:r>
    </w:p>
    <w:p w14:paraId="6EB41544" w14:textId="77777777" w:rsidR="00F61C17" w:rsidRPr="009010CB" w:rsidRDefault="00F61C17" w:rsidP="00F61C17">
      <w:pPr>
        <w:pStyle w:val="NoSpacing"/>
        <w:rPr>
          <w:rFonts w:ascii="Verdana" w:hAnsi="Verdana"/>
          <w:sz w:val="20"/>
          <w:szCs w:val="20"/>
        </w:rPr>
      </w:pPr>
    </w:p>
    <w:p w14:paraId="6EB41545" w14:textId="77777777" w:rsidR="00F61C17" w:rsidRPr="009010CB" w:rsidRDefault="00F61C17" w:rsidP="00F61C17">
      <w:pPr>
        <w:pStyle w:val="NoSpacing"/>
        <w:rPr>
          <w:rFonts w:ascii="Verdana" w:hAnsi="Verdana"/>
          <w:sz w:val="20"/>
          <w:szCs w:val="20"/>
        </w:rPr>
      </w:pPr>
      <w:r w:rsidRPr="009010CB">
        <w:rPr>
          <w:rFonts w:ascii="Verdana" w:hAnsi="Verdana"/>
          <w:i/>
          <w:sz w:val="20"/>
          <w:szCs w:val="20"/>
        </w:rPr>
        <w:t>&lt;Enrollee</w:t>
      </w:r>
      <w:r w:rsidR="00241451" w:rsidRPr="009010CB">
        <w:rPr>
          <w:rFonts w:ascii="Verdana" w:hAnsi="Verdana"/>
          <w:i/>
          <w:sz w:val="20"/>
          <w:szCs w:val="20"/>
        </w:rPr>
        <w:t xml:space="preserve"> Name</w:t>
      </w:r>
      <w:r w:rsidRPr="009010CB">
        <w:rPr>
          <w:rFonts w:ascii="Verdana" w:hAnsi="Verdana"/>
          <w:i/>
          <w:sz w:val="20"/>
          <w:szCs w:val="20"/>
        </w:rPr>
        <w:t>&gt;</w:t>
      </w:r>
      <w:r w:rsidR="00241451" w:rsidRPr="009010CB">
        <w:rPr>
          <w:rFonts w:ascii="Verdana" w:hAnsi="Verdana"/>
          <w:i/>
          <w:sz w:val="20"/>
          <w:szCs w:val="20"/>
        </w:rPr>
        <w:t xml:space="preserve"> </w:t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i/>
          <w:sz w:val="20"/>
          <w:szCs w:val="20"/>
        </w:rPr>
        <w:tab/>
      </w:r>
      <w:r w:rsidRPr="009010CB">
        <w:rPr>
          <w:rFonts w:ascii="Verdana" w:hAnsi="Verdana"/>
          <w:sz w:val="20"/>
          <w:szCs w:val="20"/>
        </w:rPr>
        <w:t xml:space="preserve">Enrollee ID Number: </w:t>
      </w:r>
      <w:r w:rsidRPr="009010CB">
        <w:rPr>
          <w:rFonts w:ascii="Verdana" w:hAnsi="Verdana"/>
          <w:i/>
          <w:sz w:val="20"/>
          <w:szCs w:val="20"/>
        </w:rPr>
        <w:t>&lt;insert number&gt;</w:t>
      </w:r>
    </w:p>
    <w:p w14:paraId="6EB41546" w14:textId="77777777" w:rsidR="00241451" w:rsidRPr="009010CB" w:rsidRDefault="00F61C17" w:rsidP="00F61C17">
      <w:pPr>
        <w:pStyle w:val="NoSpacing"/>
        <w:rPr>
          <w:rFonts w:ascii="Verdana" w:hAnsi="Verdana"/>
          <w:i/>
          <w:sz w:val="20"/>
          <w:szCs w:val="20"/>
        </w:rPr>
      </w:pPr>
      <w:r w:rsidRPr="009010CB">
        <w:rPr>
          <w:rFonts w:ascii="Verdana" w:hAnsi="Verdana"/>
          <w:i/>
          <w:sz w:val="20"/>
          <w:szCs w:val="20"/>
        </w:rPr>
        <w:t>&lt;</w:t>
      </w:r>
      <w:r w:rsidR="00241451" w:rsidRPr="009010CB">
        <w:rPr>
          <w:rFonts w:ascii="Verdana" w:hAnsi="Verdana"/>
          <w:i/>
          <w:sz w:val="20"/>
          <w:szCs w:val="20"/>
        </w:rPr>
        <w:t>Street Address</w:t>
      </w:r>
      <w:r w:rsidRPr="009010CB">
        <w:rPr>
          <w:rFonts w:ascii="Verdana" w:hAnsi="Verdana"/>
          <w:i/>
          <w:sz w:val="20"/>
          <w:szCs w:val="20"/>
        </w:rPr>
        <w:t>&gt;</w:t>
      </w:r>
      <w:r w:rsidR="00241451" w:rsidRPr="009010CB">
        <w:rPr>
          <w:rFonts w:ascii="Verdana" w:hAnsi="Verdana"/>
          <w:i/>
          <w:sz w:val="20"/>
          <w:szCs w:val="20"/>
        </w:rPr>
        <w:t xml:space="preserve"> </w:t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="00241451" w:rsidRPr="009010CB">
        <w:rPr>
          <w:rFonts w:ascii="Verdana" w:hAnsi="Verdana"/>
          <w:i/>
          <w:sz w:val="20"/>
          <w:szCs w:val="20"/>
        </w:rPr>
        <w:tab/>
      </w:r>
      <w:r w:rsidR="00241451" w:rsidRPr="009010CB">
        <w:rPr>
          <w:rFonts w:ascii="Verdana" w:hAnsi="Verdana"/>
          <w:i/>
          <w:sz w:val="20"/>
          <w:szCs w:val="20"/>
        </w:rPr>
        <w:tab/>
      </w:r>
    </w:p>
    <w:p w14:paraId="6EB41547" w14:textId="77777777" w:rsidR="00241451" w:rsidRPr="009010CB" w:rsidRDefault="00F61C17" w:rsidP="00F61C17">
      <w:pPr>
        <w:pStyle w:val="NoSpacing"/>
        <w:rPr>
          <w:rFonts w:ascii="Verdana" w:hAnsi="Verdana"/>
          <w:i/>
          <w:sz w:val="20"/>
          <w:szCs w:val="20"/>
        </w:rPr>
      </w:pPr>
      <w:r w:rsidRPr="009010CB">
        <w:rPr>
          <w:rFonts w:ascii="Verdana" w:hAnsi="Verdana"/>
          <w:i/>
          <w:sz w:val="20"/>
          <w:szCs w:val="20"/>
        </w:rPr>
        <w:t>&lt;</w:t>
      </w:r>
      <w:r w:rsidR="00241451" w:rsidRPr="009010CB">
        <w:rPr>
          <w:rFonts w:ascii="Verdana" w:hAnsi="Verdana"/>
          <w:i/>
          <w:sz w:val="20"/>
          <w:szCs w:val="20"/>
        </w:rPr>
        <w:t>City, State Zip Code</w:t>
      </w:r>
      <w:r w:rsidRPr="009010CB">
        <w:rPr>
          <w:rFonts w:ascii="Verdana" w:hAnsi="Verdana"/>
          <w:i/>
          <w:sz w:val="20"/>
          <w:szCs w:val="20"/>
        </w:rPr>
        <w:t>&gt;</w:t>
      </w:r>
    </w:p>
    <w:p w14:paraId="6EB41548" w14:textId="77777777" w:rsidR="00F61C17" w:rsidRPr="009010CB" w:rsidRDefault="00F61C17" w:rsidP="00F61C17">
      <w:pPr>
        <w:pStyle w:val="NoSpacing"/>
        <w:rPr>
          <w:rFonts w:ascii="Verdana" w:hAnsi="Verdana"/>
          <w:sz w:val="20"/>
          <w:szCs w:val="20"/>
        </w:rPr>
      </w:pPr>
    </w:p>
    <w:p w14:paraId="6EB41549" w14:textId="77777777" w:rsidR="00F61C17" w:rsidRPr="009010CB" w:rsidRDefault="00F61C17" w:rsidP="00F61C17">
      <w:pPr>
        <w:pStyle w:val="NoSpacing"/>
        <w:rPr>
          <w:rFonts w:ascii="Verdana" w:hAnsi="Verdana"/>
          <w:sz w:val="20"/>
          <w:szCs w:val="20"/>
        </w:rPr>
      </w:pPr>
      <w:r w:rsidRPr="009010CB">
        <w:rPr>
          <w:rFonts w:ascii="Verdana" w:hAnsi="Verdana"/>
          <w:sz w:val="20"/>
          <w:szCs w:val="20"/>
        </w:rPr>
        <w:t xml:space="preserve">Case Number: </w:t>
      </w:r>
      <w:r w:rsidRPr="009010CB">
        <w:rPr>
          <w:rFonts w:ascii="Verdana" w:hAnsi="Verdana"/>
          <w:i/>
          <w:sz w:val="20"/>
          <w:szCs w:val="20"/>
        </w:rPr>
        <w:t>&lt;insert number&gt;</w:t>
      </w:r>
    </w:p>
    <w:p w14:paraId="6EB4154A" w14:textId="77777777" w:rsidR="00241451" w:rsidRPr="009010CB" w:rsidRDefault="00241451" w:rsidP="00F61C17">
      <w:pPr>
        <w:pStyle w:val="NoSpacing"/>
        <w:rPr>
          <w:rFonts w:ascii="Verdana" w:hAnsi="Verdana"/>
          <w:sz w:val="20"/>
          <w:szCs w:val="20"/>
        </w:rPr>
      </w:pPr>
    </w:p>
    <w:p w14:paraId="6EB4154B" w14:textId="77777777" w:rsidR="00241451" w:rsidRPr="009010CB" w:rsidRDefault="00241451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 xml:space="preserve">Dear </w:t>
      </w:r>
      <w:r w:rsidRPr="009010CB">
        <w:rPr>
          <w:rFonts w:ascii="Verdana" w:hAnsi="Verdana"/>
          <w:i/>
          <w:sz w:val="22"/>
          <w:szCs w:val="22"/>
        </w:rPr>
        <w:t xml:space="preserve">&lt;insert </w:t>
      </w:r>
      <w:r w:rsidR="00F61C17" w:rsidRPr="009010CB">
        <w:rPr>
          <w:rFonts w:ascii="Verdana" w:hAnsi="Verdana"/>
          <w:i/>
          <w:sz w:val="22"/>
          <w:szCs w:val="22"/>
        </w:rPr>
        <w:t xml:space="preserve">enrollee </w:t>
      </w:r>
      <w:r w:rsidRPr="009010CB">
        <w:rPr>
          <w:rFonts w:ascii="Verdana" w:hAnsi="Verdana"/>
          <w:i/>
          <w:sz w:val="22"/>
          <w:szCs w:val="22"/>
        </w:rPr>
        <w:t>name&gt;</w:t>
      </w:r>
      <w:r w:rsidRPr="009010CB">
        <w:rPr>
          <w:rFonts w:ascii="Verdana" w:hAnsi="Verdana"/>
          <w:sz w:val="22"/>
          <w:szCs w:val="22"/>
        </w:rPr>
        <w:t>:</w:t>
      </w:r>
    </w:p>
    <w:p w14:paraId="6EB4154C" w14:textId="77777777" w:rsidR="00F61C17" w:rsidRPr="009010CB" w:rsidRDefault="00F61C17" w:rsidP="00F61C17">
      <w:pPr>
        <w:pStyle w:val="NoSpacing"/>
        <w:rPr>
          <w:rFonts w:ascii="Verdana" w:hAnsi="Verdana"/>
          <w:sz w:val="22"/>
          <w:szCs w:val="22"/>
        </w:rPr>
      </w:pPr>
    </w:p>
    <w:p w14:paraId="6EB4154D" w14:textId="74BE8303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 xml:space="preserve">This letter is to </w:t>
      </w:r>
      <w:r w:rsidR="009010CB">
        <w:rPr>
          <w:rFonts w:ascii="Verdana" w:hAnsi="Verdana"/>
          <w:sz w:val="22"/>
          <w:szCs w:val="22"/>
        </w:rPr>
        <w:t>let you know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that your request for a </w:t>
      </w:r>
      <w:r w:rsidRPr="009010CB">
        <w:rPr>
          <w:rFonts w:ascii="Verdana" w:hAnsi="Verdana"/>
          <w:i/>
          <w:sz w:val="22"/>
          <w:szCs w:val="22"/>
        </w:rPr>
        <w:t>[</w:t>
      </w:r>
      <w:r w:rsidR="00F61C17" w:rsidRPr="009010CB">
        <w:rPr>
          <w:rFonts w:ascii="Verdana" w:hAnsi="Verdana"/>
          <w:i/>
          <w:sz w:val="22"/>
          <w:szCs w:val="22"/>
        </w:rPr>
        <w:t xml:space="preserve">insert appropriate term: </w:t>
      </w:r>
      <w:r w:rsidRPr="009010CB">
        <w:rPr>
          <w:rFonts w:ascii="Verdana" w:hAnsi="Verdana"/>
          <w:i/>
          <w:sz w:val="22"/>
          <w:szCs w:val="22"/>
        </w:rPr>
        <w:t>standard initial decision</w:t>
      </w:r>
      <w:r w:rsidR="00B878E2" w:rsidRPr="009010CB">
        <w:rPr>
          <w:rFonts w:ascii="Verdana" w:hAnsi="Verdana"/>
          <w:i/>
          <w:sz w:val="22"/>
          <w:szCs w:val="22"/>
        </w:rPr>
        <w:t xml:space="preserve"> for benefits, standard initial decision for reimbursement</w:t>
      </w:r>
      <w:r w:rsidR="00F61C17" w:rsidRPr="009010CB">
        <w:rPr>
          <w:rFonts w:ascii="Verdana" w:hAnsi="Verdana"/>
          <w:i/>
          <w:sz w:val="22"/>
          <w:szCs w:val="22"/>
        </w:rPr>
        <w:t>, fast initial decision, standard</w:t>
      </w:r>
      <w:r w:rsidRPr="009010CB">
        <w:rPr>
          <w:rFonts w:ascii="Verdana" w:hAnsi="Verdana"/>
          <w:i/>
          <w:sz w:val="22"/>
          <w:szCs w:val="22"/>
        </w:rPr>
        <w:t xml:space="preserve"> appeal</w:t>
      </w:r>
      <w:r w:rsidR="00F61C17" w:rsidRPr="009010CB">
        <w:rPr>
          <w:rFonts w:ascii="Verdana" w:hAnsi="Verdana"/>
          <w:i/>
          <w:sz w:val="22"/>
          <w:szCs w:val="22"/>
        </w:rPr>
        <w:t>, or fast</w:t>
      </w:r>
      <w:r w:rsidRPr="009010CB">
        <w:rPr>
          <w:rFonts w:ascii="Verdana" w:hAnsi="Verdana"/>
          <w:i/>
          <w:sz w:val="22"/>
          <w:szCs w:val="22"/>
        </w:rPr>
        <w:t xml:space="preserve"> appeal]</w:t>
      </w:r>
      <w:r w:rsidRPr="009010CB">
        <w:rPr>
          <w:rFonts w:ascii="Verdana" w:hAnsi="Verdana"/>
          <w:sz w:val="22"/>
          <w:szCs w:val="22"/>
        </w:rPr>
        <w:t xml:space="preserve"> was forwarded to an independent organization for review on </w:t>
      </w:r>
      <w:r w:rsidRPr="009010CB">
        <w:rPr>
          <w:rFonts w:ascii="Verdana" w:hAnsi="Verdana"/>
          <w:i/>
          <w:sz w:val="22"/>
          <w:szCs w:val="22"/>
        </w:rPr>
        <w:t>&lt;insert date</w:t>
      </w:r>
      <w:r w:rsidRPr="009010CB">
        <w:rPr>
          <w:rFonts w:ascii="Verdana" w:hAnsi="Verdana"/>
          <w:sz w:val="22"/>
          <w:szCs w:val="22"/>
        </w:rPr>
        <w:t xml:space="preserve">&gt;.  </w:t>
      </w:r>
    </w:p>
    <w:p w14:paraId="6EB4154E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6EB4154F" w14:textId="119364DD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“standard initial decision” request</w:t>
      </w:r>
      <w:r w:rsidR="00B878E2" w:rsidRPr="009010CB">
        <w:rPr>
          <w:rFonts w:ascii="Verdana" w:hAnsi="Verdana"/>
          <w:i/>
          <w:sz w:val="22"/>
          <w:szCs w:val="22"/>
        </w:rPr>
        <w:t xml:space="preserve"> for benefits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72 hours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request.]</w:t>
      </w:r>
    </w:p>
    <w:p w14:paraId="6EB41550" w14:textId="77777777" w:rsidR="00B878E2" w:rsidRPr="009010CB" w:rsidRDefault="00B878E2" w:rsidP="00F61C17">
      <w:pPr>
        <w:pStyle w:val="NoSpacing"/>
        <w:rPr>
          <w:rFonts w:ascii="Verdana" w:hAnsi="Verdana"/>
          <w:sz w:val="22"/>
          <w:szCs w:val="22"/>
        </w:rPr>
      </w:pPr>
    </w:p>
    <w:p w14:paraId="6EB41551" w14:textId="567D3D3B" w:rsidR="00B878E2" w:rsidRPr="009010CB" w:rsidRDefault="00B878E2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“standard initial decision” request for reimbursement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14 days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request.]</w:t>
      </w:r>
    </w:p>
    <w:p w14:paraId="6EB41552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6EB41553" w14:textId="24B7267B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“fast initial decision” request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24 hours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request.]</w:t>
      </w:r>
    </w:p>
    <w:p w14:paraId="6EB41554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6EB41555" w14:textId="1176C91A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“standard” appeal</w:t>
      </w:r>
      <w:r w:rsidR="00B878E2" w:rsidRPr="009010CB">
        <w:rPr>
          <w:rFonts w:ascii="Verdana" w:hAnsi="Verdana"/>
          <w:i/>
          <w:sz w:val="22"/>
          <w:szCs w:val="22"/>
        </w:rPr>
        <w:t xml:space="preserve"> for benefits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7 calendar days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appeal.]</w:t>
      </w:r>
      <w:r w:rsidRPr="009010CB">
        <w:rPr>
          <w:rFonts w:ascii="Verdana" w:hAnsi="Verdana"/>
          <w:i/>
          <w:color w:val="000000"/>
          <w:sz w:val="22"/>
          <w:szCs w:val="22"/>
        </w:rPr>
        <w:t xml:space="preserve"> </w:t>
      </w:r>
    </w:p>
    <w:p w14:paraId="6EB41556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6EB41557" w14:textId="258DD324" w:rsidR="00B878E2" w:rsidRPr="009010CB" w:rsidRDefault="00B878E2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“standard” appeal for reimbursement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14 calendar days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appeal.]</w:t>
      </w:r>
    </w:p>
    <w:p w14:paraId="6EB41558" w14:textId="77777777" w:rsidR="00B878E2" w:rsidRPr="009010CB" w:rsidRDefault="00B878E2" w:rsidP="00F61C17">
      <w:pPr>
        <w:pStyle w:val="NoSpacing"/>
        <w:rPr>
          <w:rFonts w:ascii="Verdana" w:hAnsi="Verdana"/>
          <w:sz w:val="22"/>
          <w:szCs w:val="22"/>
        </w:rPr>
      </w:pPr>
    </w:p>
    <w:p w14:paraId="6EB41559" w14:textId="1554B0F6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[</w:t>
      </w:r>
      <w:r w:rsidRPr="009010CB">
        <w:rPr>
          <w:rFonts w:ascii="Verdana" w:hAnsi="Verdana"/>
          <w:i/>
          <w:sz w:val="22"/>
          <w:szCs w:val="22"/>
        </w:rPr>
        <w:t>For a “fast” appeal</w:t>
      </w:r>
      <w:r w:rsidRPr="009010CB">
        <w:rPr>
          <w:rFonts w:ascii="Verdana" w:hAnsi="Verdana"/>
          <w:sz w:val="22"/>
          <w:szCs w:val="22"/>
        </w:rPr>
        <w:t>: Your case file was forwarded to an independent review organization because we didn</w:t>
      </w:r>
      <w:r w:rsidR="009010CB"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 w:rsidR="009010CB">
        <w:rPr>
          <w:rFonts w:ascii="Verdana" w:hAnsi="Verdana"/>
          <w:sz w:val="22"/>
          <w:szCs w:val="22"/>
        </w:rPr>
        <w:t>give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you an answer within 72 hours after </w:t>
      </w:r>
      <w:r w:rsidR="009010CB">
        <w:rPr>
          <w:rFonts w:ascii="Verdana" w:hAnsi="Verdana"/>
          <w:sz w:val="22"/>
          <w:szCs w:val="22"/>
        </w:rPr>
        <w:t>we got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your appeal.]</w:t>
      </w:r>
    </w:p>
    <w:p w14:paraId="6EB4155A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7894558B" w14:textId="2BAF4871" w:rsidR="009010CB" w:rsidRDefault="009010CB" w:rsidP="00F61C17">
      <w:pPr>
        <w:pStyle w:val="NoSpacing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Since </w:t>
      </w:r>
      <w:r w:rsidRPr="009010CB">
        <w:rPr>
          <w:rFonts w:ascii="Verdana" w:hAnsi="Verdana"/>
          <w:sz w:val="22"/>
          <w:szCs w:val="22"/>
        </w:rPr>
        <w:t>we d</w:t>
      </w:r>
      <w:r>
        <w:rPr>
          <w:rFonts w:ascii="Verdana" w:hAnsi="Verdana"/>
          <w:sz w:val="22"/>
          <w:szCs w:val="22"/>
        </w:rPr>
        <w:t>id</w:t>
      </w:r>
      <w:r w:rsidRPr="009010CB">
        <w:rPr>
          <w:rFonts w:ascii="Verdana" w:hAnsi="Verdana"/>
          <w:sz w:val="22"/>
          <w:szCs w:val="22"/>
        </w:rPr>
        <w:t>n</w:t>
      </w:r>
      <w:r>
        <w:rPr>
          <w:rFonts w:ascii="Verdana" w:hAnsi="Verdana"/>
          <w:sz w:val="22"/>
          <w:szCs w:val="22"/>
        </w:rPr>
        <w:t>’</w:t>
      </w:r>
      <w:r w:rsidRPr="009010CB">
        <w:rPr>
          <w:rFonts w:ascii="Verdana" w:hAnsi="Verdana"/>
          <w:sz w:val="22"/>
          <w:szCs w:val="22"/>
        </w:rPr>
        <w:t xml:space="preserve">t </w:t>
      </w:r>
      <w:r>
        <w:rPr>
          <w:rFonts w:ascii="Verdana" w:hAnsi="Verdana"/>
          <w:sz w:val="22"/>
          <w:szCs w:val="22"/>
        </w:rPr>
        <w:t>give</w:t>
      </w:r>
      <w:r w:rsidRPr="009010CB">
        <w:rPr>
          <w:rFonts w:ascii="Verdana" w:hAnsi="Verdana"/>
          <w:sz w:val="22"/>
          <w:szCs w:val="22"/>
        </w:rPr>
        <w:t xml:space="preserve"> you an answer in the required time</w:t>
      </w:r>
      <w:r w:rsidR="00083732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>frame</w:t>
      </w:r>
      <w:r>
        <w:rPr>
          <w:rFonts w:ascii="Verdana" w:hAnsi="Verdana"/>
          <w:sz w:val="22"/>
          <w:szCs w:val="22"/>
        </w:rPr>
        <w:t xml:space="preserve">, we’re required by </w:t>
      </w:r>
      <w:r w:rsidR="00BF3C28" w:rsidRPr="009010CB">
        <w:rPr>
          <w:rFonts w:ascii="Verdana" w:hAnsi="Verdana"/>
          <w:sz w:val="22"/>
          <w:szCs w:val="22"/>
        </w:rPr>
        <w:t>law to forward your case file to an independent review organization within 24 hours</w:t>
      </w:r>
      <w:r w:rsidR="00B878E2" w:rsidRPr="009010CB">
        <w:rPr>
          <w:rFonts w:ascii="Verdana" w:hAnsi="Verdana"/>
          <w:sz w:val="22"/>
          <w:szCs w:val="22"/>
        </w:rPr>
        <w:t xml:space="preserve">. </w:t>
      </w:r>
      <w:r w:rsidR="00BF3C28" w:rsidRPr="009010CB">
        <w:rPr>
          <w:rFonts w:ascii="Verdana" w:hAnsi="Verdana"/>
          <w:sz w:val="22"/>
          <w:szCs w:val="22"/>
        </w:rPr>
        <w:t xml:space="preserve">The independent review organization has a contract with </w:t>
      </w:r>
      <w:r w:rsidR="00F61C17" w:rsidRPr="009010CB">
        <w:rPr>
          <w:rFonts w:ascii="Verdana" w:hAnsi="Verdana"/>
          <w:sz w:val="22"/>
          <w:szCs w:val="22"/>
        </w:rPr>
        <w:t>Medicare</w:t>
      </w:r>
      <w:r w:rsidR="00B878E2" w:rsidRPr="009010CB">
        <w:rPr>
          <w:rFonts w:ascii="Verdana" w:hAnsi="Verdana"/>
          <w:sz w:val="22"/>
          <w:szCs w:val="22"/>
        </w:rPr>
        <w:t xml:space="preserve"> and </w:t>
      </w:r>
      <w:r w:rsidR="00BF3C28" w:rsidRPr="009010CB">
        <w:rPr>
          <w:rFonts w:ascii="Verdana" w:hAnsi="Verdana"/>
          <w:sz w:val="22"/>
          <w:szCs w:val="22"/>
        </w:rPr>
        <w:t xml:space="preserve">no connection to us.  </w:t>
      </w:r>
    </w:p>
    <w:p w14:paraId="01267AD8" w14:textId="77777777" w:rsidR="009010CB" w:rsidRDefault="009010CB" w:rsidP="00F61C17">
      <w:pPr>
        <w:pStyle w:val="NoSpacing"/>
        <w:rPr>
          <w:rFonts w:ascii="Verdana" w:hAnsi="Verdana"/>
          <w:sz w:val="22"/>
          <w:szCs w:val="22"/>
        </w:rPr>
      </w:pPr>
    </w:p>
    <w:p w14:paraId="2C719C6E" w14:textId="14E0A50E" w:rsidR="009010CB" w:rsidRPr="009010CB" w:rsidRDefault="009010CB" w:rsidP="009010CB">
      <w:pPr>
        <w:pStyle w:val="NoSpacing"/>
        <w:spacing w:after="120"/>
        <w:rPr>
          <w:rFonts w:ascii="Verdana" w:hAnsi="Verdana"/>
          <w:b/>
          <w:bCs/>
          <w:sz w:val="28"/>
          <w:szCs w:val="28"/>
        </w:rPr>
      </w:pPr>
      <w:r w:rsidRPr="009010CB">
        <w:rPr>
          <w:rFonts w:ascii="Verdana" w:hAnsi="Verdana"/>
          <w:b/>
          <w:bCs/>
          <w:sz w:val="28"/>
          <w:szCs w:val="28"/>
        </w:rPr>
        <w:t>What to do next</w:t>
      </w:r>
    </w:p>
    <w:p w14:paraId="6EB4155B" w14:textId="7E7AE220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>You have the right to ask us for a copy of your case file that we sent to th</w:t>
      </w:r>
      <w:r w:rsidR="009010CB">
        <w:rPr>
          <w:rFonts w:ascii="Verdana" w:hAnsi="Verdana"/>
          <w:sz w:val="22"/>
          <w:szCs w:val="22"/>
        </w:rPr>
        <w:t>e independent review</w:t>
      </w:r>
      <w:r w:rsidRPr="009010CB">
        <w:rPr>
          <w:rFonts w:ascii="Verdana" w:hAnsi="Verdana"/>
          <w:sz w:val="22"/>
          <w:szCs w:val="22"/>
        </w:rPr>
        <w:t xml:space="preserve"> organization.  [</w:t>
      </w:r>
      <w:r w:rsidR="00C00DE1" w:rsidRPr="009010CB">
        <w:rPr>
          <w:rFonts w:ascii="Verdana" w:hAnsi="Verdana"/>
          <w:i/>
          <w:sz w:val="22"/>
          <w:szCs w:val="22"/>
        </w:rPr>
        <w:t xml:space="preserve">Plan sponsor </w:t>
      </w:r>
      <w:r w:rsidRPr="009010CB">
        <w:rPr>
          <w:rFonts w:ascii="Verdana" w:hAnsi="Verdana"/>
          <w:i/>
          <w:sz w:val="22"/>
          <w:szCs w:val="22"/>
        </w:rPr>
        <w:t>must indicate if there is a charge for the copy.</w:t>
      </w:r>
      <w:r w:rsidR="00B878E2" w:rsidRPr="009010CB">
        <w:rPr>
          <w:rFonts w:ascii="Verdana" w:hAnsi="Verdana"/>
          <w:sz w:val="22"/>
          <w:szCs w:val="22"/>
        </w:rPr>
        <w:t>]</w:t>
      </w:r>
    </w:p>
    <w:p w14:paraId="6EB4155C" w14:textId="77777777" w:rsidR="00C643D0" w:rsidRPr="009010CB" w:rsidRDefault="00C643D0" w:rsidP="00F61C17">
      <w:pPr>
        <w:pStyle w:val="NoSpacing"/>
        <w:rPr>
          <w:rFonts w:ascii="Verdana" w:hAnsi="Verdana"/>
          <w:sz w:val="22"/>
          <w:szCs w:val="22"/>
        </w:rPr>
      </w:pPr>
    </w:p>
    <w:p w14:paraId="6EB4155D" w14:textId="0C3225C3" w:rsidR="00152902" w:rsidRPr="009010CB" w:rsidRDefault="00EA2E67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lastRenderedPageBreak/>
        <w:t xml:space="preserve">You </w:t>
      </w:r>
      <w:r w:rsidR="009010CB">
        <w:rPr>
          <w:rFonts w:ascii="Verdana" w:hAnsi="Verdana"/>
          <w:sz w:val="22"/>
          <w:szCs w:val="22"/>
        </w:rPr>
        <w:t xml:space="preserve">also </w:t>
      </w:r>
      <w:r w:rsidRPr="009010CB">
        <w:rPr>
          <w:rFonts w:ascii="Verdana" w:hAnsi="Verdana"/>
          <w:sz w:val="22"/>
          <w:szCs w:val="22"/>
        </w:rPr>
        <w:t xml:space="preserve">have the right to submit additional evidence about your case.  If you choose to submit additional evidence, </w:t>
      </w:r>
      <w:r w:rsidR="009E3FA8">
        <w:rPr>
          <w:rFonts w:ascii="Verdana" w:hAnsi="Verdana"/>
          <w:sz w:val="22"/>
          <w:szCs w:val="22"/>
        </w:rPr>
        <w:t xml:space="preserve">mail </w:t>
      </w:r>
      <w:r w:rsidR="009010CB">
        <w:rPr>
          <w:rFonts w:ascii="Verdana" w:hAnsi="Verdana"/>
          <w:sz w:val="22"/>
          <w:szCs w:val="22"/>
        </w:rPr>
        <w:t>or fax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it </w:t>
      </w:r>
      <w:r w:rsidR="009010CB">
        <w:rPr>
          <w:rFonts w:ascii="Verdana" w:hAnsi="Verdana"/>
          <w:sz w:val="22"/>
          <w:szCs w:val="22"/>
        </w:rPr>
        <w:t>as soon as possible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to the independent review organization at </w:t>
      </w:r>
      <w:r w:rsidRPr="009010CB">
        <w:rPr>
          <w:rFonts w:ascii="Verdana" w:hAnsi="Verdana"/>
          <w:i/>
          <w:sz w:val="22"/>
          <w:szCs w:val="22"/>
        </w:rPr>
        <w:t>&lt;address&gt;&lt;fax&gt;</w:t>
      </w:r>
      <w:r w:rsidRPr="009010CB">
        <w:rPr>
          <w:rFonts w:ascii="Verdana" w:hAnsi="Verdana"/>
          <w:sz w:val="22"/>
          <w:szCs w:val="22"/>
        </w:rPr>
        <w:t xml:space="preserve">.  </w:t>
      </w:r>
    </w:p>
    <w:p w14:paraId="6EB4155E" w14:textId="77777777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</w:p>
    <w:p w14:paraId="6EB4155F" w14:textId="25B27D2A" w:rsidR="00BF3C28" w:rsidRPr="009010CB" w:rsidRDefault="00BF3C28" w:rsidP="00F61C17">
      <w:pPr>
        <w:pStyle w:val="NoSpacing"/>
        <w:rPr>
          <w:rFonts w:ascii="Verdana" w:hAnsi="Verdana"/>
          <w:sz w:val="22"/>
          <w:szCs w:val="22"/>
        </w:rPr>
      </w:pPr>
      <w:r w:rsidRPr="009010CB">
        <w:rPr>
          <w:rFonts w:ascii="Verdana" w:hAnsi="Verdana"/>
          <w:sz w:val="22"/>
          <w:szCs w:val="22"/>
        </w:rPr>
        <w:t xml:space="preserve">If you have questions, or to </w:t>
      </w:r>
      <w:r w:rsidR="009010CB">
        <w:rPr>
          <w:rFonts w:ascii="Verdana" w:hAnsi="Verdana"/>
          <w:sz w:val="22"/>
          <w:szCs w:val="22"/>
        </w:rPr>
        <w:t>ask for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a copy of your case file, contact </w:t>
      </w:r>
      <w:r w:rsidR="003E1D23">
        <w:rPr>
          <w:rFonts w:ascii="Verdana" w:hAnsi="Verdana"/>
          <w:sz w:val="22"/>
          <w:szCs w:val="22"/>
        </w:rPr>
        <w:t xml:space="preserve">&lt;Plan sponsor name&gt; </w:t>
      </w:r>
      <w:r w:rsidRPr="009010CB">
        <w:rPr>
          <w:rFonts w:ascii="Verdana" w:hAnsi="Verdana"/>
          <w:sz w:val="22"/>
          <w:szCs w:val="22"/>
        </w:rPr>
        <w:t xml:space="preserve">Customer Services at </w:t>
      </w:r>
      <w:r w:rsidRPr="009010CB">
        <w:rPr>
          <w:rFonts w:ascii="Verdana" w:hAnsi="Verdana"/>
          <w:i/>
          <w:sz w:val="22"/>
          <w:szCs w:val="22"/>
        </w:rPr>
        <w:t xml:space="preserve">&lt;toll-free number&gt; &lt;days </w:t>
      </w:r>
      <w:r w:rsidR="00AB4295" w:rsidRPr="009010CB">
        <w:rPr>
          <w:rFonts w:ascii="Verdana" w:hAnsi="Verdana"/>
          <w:i/>
          <w:sz w:val="22"/>
          <w:szCs w:val="22"/>
        </w:rPr>
        <w:t>and hours of operation&gt;</w:t>
      </w:r>
      <w:r w:rsidR="00AB4295" w:rsidRPr="009010CB">
        <w:rPr>
          <w:rFonts w:ascii="Verdana" w:hAnsi="Verdana"/>
          <w:sz w:val="22"/>
          <w:szCs w:val="22"/>
        </w:rPr>
        <w:t>. TTY</w:t>
      </w:r>
      <w:r w:rsidRPr="009010CB">
        <w:rPr>
          <w:rFonts w:ascii="Verdana" w:hAnsi="Verdana"/>
          <w:sz w:val="22"/>
          <w:szCs w:val="22"/>
        </w:rPr>
        <w:t xml:space="preserve"> users </w:t>
      </w:r>
      <w:r w:rsidR="009010CB">
        <w:rPr>
          <w:rFonts w:ascii="Verdana" w:hAnsi="Verdana"/>
          <w:sz w:val="22"/>
          <w:szCs w:val="22"/>
        </w:rPr>
        <w:t>can</w:t>
      </w:r>
      <w:r w:rsidR="009010CB" w:rsidRPr="009010CB">
        <w:rPr>
          <w:rFonts w:ascii="Verdana" w:hAnsi="Verdana"/>
          <w:sz w:val="22"/>
          <w:szCs w:val="22"/>
        </w:rPr>
        <w:t xml:space="preserve"> </w:t>
      </w:r>
      <w:r w:rsidRPr="009010CB">
        <w:rPr>
          <w:rFonts w:ascii="Verdana" w:hAnsi="Verdana"/>
          <w:sz w:val="22"/>
          <w:szCs w:val="22"/>
        </w:rPr>
        <w:t xml:space="preserve">call </w:t>
      </w:r>
      <w:r w:rsidRPr="009010CB">
        <w:rPr>
          <w:rFonts w:ascii="Verdana" w:hAnsi="Verdana"/>
          <w:i/>
          <w:sz w:val="22"/>
          <w:szCs w:val="22"/>
        </w:rPr>
        <w:t>&lt;toll-free TTY number&gt;</w:t>
      </w:r>
      <w:r w:rsidRPr="009010CB">
        <w:rPr>
          <w:rFonts w:ascii="Verdana" w:hAnsi="Verdana"/>
          <w:sz w:val="22"/>
          <w:szCs w:val="22"/>
        </w:rPr>
        <w:t>.</w:t>
      </w:r>
    </w:p>
    <w:p w14:paraId="6EB41562" w14:textId="7EFD3C69" w:rsidR="00B75E8A" w:rsidRPr="009010CB" w:rsidRDefault="00B75E8A" w:rsidP="00F61C17">
      <w:pPr>
        <w:pStyle w:val="NoSpacing"/>
        <w:rPr>
          <w:rFonts w:ascii="Verdana" w:hAnsi="Verdana"/>
          <w:i/>
          <w:color w:val="FF0000"/>
          <w:sz w:val="22"/>
          <w:szCs w:val="22"/>
        </w:rPr>
      </w:pPr>
      <w:bookmarkStart w:id="0" w:name="_Appendix_6_-_Acknowledgement_Letter"/>
      <w:bookmarkStart w:id="1" w:name="_Appendix_7_-_(Model)_Notice_of_Plan"/>
      <w:bookmarkStart w:id="2" w:name="_Appendix_7_-_(Model)_Notice_of_Plan_1"/>
      <w:bookmarkStart w:id="3" w:name="_Appendix_7_-"/>
      <w:bookmarkStart w:id="4" w:name="_Appendix_8_-_(Model)_Notice_of_Plan"/>
      <w:bookmarkStart w:id="5" w:name="_Appendix_8_-_(Model)_Notice_of_Plan_1"/>
      <w:bookmarkStart w:id="6" w:name="_Appendix_8_-"/>
      <w:bookmarkEnd w:id="0"/>
      <w:bookmarkEnd w:id="1"/>
      <w:bookmarkEnd w:id="2"/>
      <w:bookmarkEnd w:id="3"/>
      <w:bookmarkEnd w:id="4"/>
      <w:bookmarkEnd w:id="5"/>
      <w:bookmarkEnd w:id="6"/>
    </w:p>
    <w:sectPr w:rsidR="00B75E8A" w:rsidRPr="009010CB" w:rsidSect="00B878E2">
      <w:headerReference w:type="default" r:id="rId12"/>
      <w:endnotePr>
        <w:numFmt w:val="decimal"/>
      </w:endnotePr>
      <w:pgSz w:w="12240" w:h="15840"/>
      <w:pgMar w:top="540" w:right="720" w:bottom="720" w:left="720" w:header="1008" w:footer="4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5222" w14:textId="77777777" w:rsidR="00C72C8C" w:rsidRDefault="00C72C8C">
      <w:r>
        <w:separator/>
      </w:r>
    </w:p>
  </w:endnote>
  <w:endnote w:type="continuationSeparator" w:id="0">
    <w:p w14:paraId="51429ECD" w14:textId="77777777" w:rsidR="00C72C8C" w:rsidRDefault="00C7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BD07D" w14:textId="77777777" w:rsidR="00C72C8C" w:rsidRDefault="00C72C8C">
      <w:r>
        <w:separator/>
      </w:r>
    </w:p>
  </w:footnote>
  <w:footnote w:type="continuationSeparator" w:id="0">
    <w:p w14:paraId="0223C51F" w14:textId="77777777" w:rsidR="00C72C8C" w:rsidRDefault="00C7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41567" w14:textId="77777777" w:rsidR="0040230A" w:rsidRDefault="0040230A" w:rsidP="006706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2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8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3451">
    <w:abstractNumId w:val="7"/>
  </w:num>
  <w:num w:numId="2" w16cid:durableId="1871450485">
    <w:abstractNumId w:val="5"/>
  </w:num>
  <w:num w:numId="3" w16cid:durableId="733118012">
    <w:abstractNumId w:val="38"/>
  </w:num>
  <w:num w:numId="4" w16cid:durableId="1128888809">
    <w:abstractNumId w:val="14"/>
  </w:num>
  <w:num w:numId="5" w16cid:durableId="1547643247">
    <w:abstractNumId w:val="4"/>
  </w:num>
  <w:num w:numId="6" w16cid:durableId="1502506896">
    <w:abstractNumId w:val="6"/>
  </w:num>
  <w:num w:numId="7" w16cid:durableId="2106414775">
    <w:abstractNumId w:val="3"/>
  </w:num>
  <w:num w:numId="8" w16cid:durableId="3214548">
    <w:abstractNumId w:val="2"/>
  </w:num>
  <w:num w:numId="9" w16cid:durableId="1208400">
    <w:abstractNumId w:val="1"/>
  </w:num>
  <w:num w:numId="10" w16cid:durableId="183597791">
    <w:abstractNumId w:val="0"/>
  </w:num>
  <w:num w:numId="11" w16cid:durableId="1645692111">
    <w:abstractNumId w:val="34"/>
  </w:num>
  <w:num w:numId="12" w16cid:durableId="826943673">
    <w:abstractNumId w:val="46"/>
  </w:num>
  <w:num w:numId="13" w16cid:durableId="673801730">
    <w:abstractNumId w:val="54"/>
  </w:num>
  <w:num w:numId="14" w16cid:durableId="1960263043">
    <w:abstractNumId w:val="19"/>
  </w:num>
  <w:num w:numId="15" w16cid:durableId="1148477234">
    <w:abstractNumId w:val="55"/>
  </w:num>
  <w:num w:numId="16" w16cid:durableId="1540706688">
    <w:abstractNumId w:val="27"/>
  </w:num>
  <w:num w:numId="17" w16cid:durableId="1876195106">
    <w:abstractNumId w:val="68"/>
  </w:num>
  <w:num w:numId="18" w16cid:durableId="1973825396">
    <w:abstractNumId w:val="21"/>
  </w:num>
  <w:num w:numId="19" w16cid:durableId="1456870905">
    <w:abstractNumId w:val="53"/>
  </w:num>
  <w:num w:numId="20" w16cid:durableId="1303147104">
    <w:abstractNumId w:val="64"/>
  </w:num>
  <w:num w:numId="21" w16cid:durableId="1592277945">
    <w:abstractNumId w:val="62"/>
  </w:num>
  <w:num w:numId="22" w16cid:durableId="1848708471">
    <w:abstractNumId w:val="13"/>
  </w:num>
  <w:num w:numId="23" w16cid:durableId="1042946100">
    <w:abstractNumId w:val="57"/>
  </w:num>
  <w:num w:numId="24" w16cid:durableId="465243914">
    <w:abstractNumId w:val="56"/>
  </w:num>
  <w:num w:numId="25" w16cid:durableId="576671062">
    <w:abstractNumId w:val="36"/>
  </w:num>
  <w:num w:numId="26" w16cid:durableId="1467776087">
    <w:abstractNumId w:val="12"/>
  </w:num>
  <w:num w:numId="27" w16cid:durableId="212159904">
    <w:abstractNumId w:val="58"/>
  </w:num>
  <w:num w:numId="28" w16cid:durableId="817956493">
    <w:abstractNumId w:val="39"/>
  </w:num>
  <w:num w:numId="29" w16cid:durableId="381448491">
    <w:abstractNumId w:val="49"/>
  </w:num>
  <w:num w:numId="30" w16cid:durableId="661928978">
    <w:abstractNumId w:val="69"/>
  </w:num>
  <w:num w:numId="31" w16cid:durableId="1499930697">
    <w:abstractNumId w:val="60"/>
  </w:num>
  <w:num w:numId="32" w16cid:durableId="1633361757">
    <w:abstractNumId w:val="61"/>
  </w:num>
  <w:num w:numId="33" w16cid:durableId="1860465306">
    <w:abstractNumId w:val="28"/>
  </w:num>
  <w:num w:numId="34" w16cid:durableId="1740247120">
    <w:abstractNumId w:val="51"/>
  </w:num>
  <w:num w:numId="35" w16cid:durableId="2064408630">
    <w:abstractNumId w:val="17"/>
  </w:num>
  <w:num w:numId="36" w16cid:durableId="551189100">
    <w:abstractNumId w:val="59"/>
  </w:num>
  <w:num w:numId="37" w16cid:durableId="638655615">
    <w:abstractNumId w:val="70"/>
  </w:num>
  <w:num w:numId="38" w16cid:durableId="1584023559">
    <w:abstractNumId w:val="10"/>
  </w:num>
  <w:num w:numId="39" w16cid:durableId="576790214">
    <w:abstractNumId w:val="16"/>
  </w:num>
  <w:num w:numId="40" w16cid:durableId="1876506304">
    <w:abstractNumId w:val="30"/>
  </w:num>
  <w:num w:numId="41" w16cid:durableId="245572833">
    <w:abstractNumId w:val="44"/>
  </w:num>
  <w:num w:numId="42" w16cid:durableId="948775340">
    <w:abstractNumId w:val="9"/>
  </w:num>
  <w:num w:numId="43" w16cid:durableId="1606184243">
    <w:abstractNumId w:val="65"/>
  </w:num>
  <w:num w:numId="44" w16cid:durableId="858129304">
    <w:abstractNumId w:val="22"/>
  </w:num>
  <w:num w:numId="45" w16cid:durableId="46107534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0031036">
    <w:abstractNumId w:val="66"/>
  </w:num>
  <w:num w:numId="47" w16cid:durableId="133763448">
    <w:abstractNumId w:val="29"/>
  </w:num>
  <w:num w:numId="48" w16cid:durableId="1802842453">
    <w:abstractNumId w:val="24"/>
  </w:num>
  <w:num w:numId="49" w16cid:durableId="1396508721">
    <w:abstractNumId w:val="35"/>
  </w:num>
  <w:num w:numId="50" w16cid:durableId="1435128227">
    <w:abstractNumId w:val="63"/>
  </w:num>
  <w:num w:numId="51" w16cid:durableId="1677658635">
    <w:abstractNumId w:val="55"/>
    <w:lvlOverride w:ilvl="0">
      <w:startOverride w:val="1"/>
    </w:lvlOverride>
  </w:num>
  <w:num w:numId="52" w16cid:durableId="286358509">
    <w:abstractNumId w:val="48"/>
  </w:num>
  <w:num w:numId="53" w16cid:durableId="1221595353">
    <w:abstractNumId w:val="23"/>
  </w:num>
  <w:num w:numId="54" w16cid:durableId="1647465726">
    <w:abstractNumId w:val="33"/>
  </w:num>
  <w:num w:numId="55" w16cid:durableId="674191435">
    <w:abstractNumId w:val="18"/>
  </w:num>
  <w:num w:numId="56" w16cid:durableId="1705593696">
    <w:abstractNumId w:val="52"/>
  </w:num>
  <w:num w:numId="57" w16cid:durableId="656306324">
    <w:abstractNumId w:val="11"/>
  </w:num>
  <w:num w:numId="58" w16cid:durableId="94714583">
    <w:abstractNumId w:val="15"/>
  </w:num>
  <w:num w:numId="59" w16cid:durableId="1380931428">
    <w:abstractNumId w:val="50"/>
  </w:num>
  <w:num w:numId="60" w16cid:durableId="809784951">
    <w:abstractNumId w:val="31"/>
  </w:num>
  <w:num w:numId="61" w16cid:durableId="840045470">
    <w:abstractNumId w:val="20"/>
  </w:num>
  <w:num w:numId="62" w16cid:durableId="1213425934">
    <w:abstractNumId w:val="47"/>
  </w:num>
  <w:num w:numId="63" w16cid:durableId="950208479">
    <w:abstractNumId w:val="26"/>
  </w:num>
  <w:num w:numId="64" w16cid:durableId="1968314581">
    <w:abstractNumId w:val="45"/>
  </w:num>
  <w:num w:numId="65" w16cid:durableId="852917331">
    <w:abstractNumId w:val="8"/>
  </w:num>
  <w:num w:numId="66" w16cid:durableId="1475946195">
    <w:abstractNumId w:val="41"/>
  </w:num>
  <w:num w:numId="67" w16cid:durableId="70202894">
    <w:abstractNumId w:val="67"/>
  </w:num>
  <w:num w:numId="68" w16cid:durableId="1505704583">
    <w:abstractNumId w:val="37"/>
  </w:num>
  <w:num w:numId="69" w16cid:durableId="1850824362">
    <w:abstractNumId w:val="25"/>
  </w:num>
  <w:num w:numId="70" w16cid:durableId="1368480999">
    <w:abstractNumId w:val="43"/>
  </w:num>
  <w:num w:numId="71" w16cid:durableId="803038898">
    <w:abstractNumId w:val="42"/>
  </w:num>
  <w:num w:numId="72" w16cid:durableId="12919553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55A9"/>
    <w:rsid w:val="00056F96"/>
    <w:rsid w:val="000571C4"/>
    <w:rsid w:val="0006094E"/>
    <w:rsid w:val="00061025"/>
    <w:rsid w:val="000611D5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BE"/>
    <w:rsid w:val="000819FF"/>
    <w:rsid w:val="00081DA1"/>
    <w:rsid w:val="000820B4"/>
    <w:rsid w:val="00082B1E"/>
    <w:rsid w:val="00082FE0"/>
    <w:rsid w:val="00082FEA"/>
    <w:rsid w:val="000830AA"/>
    <w:rsid w:val="00083732"/>
    <w:rsid w:val="00083BE7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A21"/>
    <w:rsid w:val="000C524E"/>
    <w:rsid w:val="000C5428"/>
    <w:rsid w:val="000C6D4D"/>
    <w:rsid w:val="000C73F0"/>
    <w:rsid w:val="000C7903"/>
    <w:rsid w:val="000C7C67"/>
    <w:rsid w:val="000D01DA"/>
    <w:rsid w:val="000D1A37"/>
    <w:rsid w:val="000D1BF6"/>
    <w:rsid w:val="000D24DE"/>
    <w:rsid w:val="000D2DDD"/>
    <w:rsid w:val="000D38CC"/>
    <w:rsid w:val="000D41BE"/>
    <w:rsid w:val="000D41EB"/>
    <w:rsid w:val="000D4C13"/>
    <w:rsid w:val="000D55CD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308C"/>
    <w:rsid w:val="00163B8E"/>
    <w:rsid w:val="001650CD"/>
    <w:rsid w:val="00165BC1"/>
    <w:rsid w:val="00166B12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06A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CE0"/>
    <w:rsid w:val="00220398"/>
    <w:rsid w:val="00221BFE"/>
    <w:rsid w:val="002222A8"/>
    <w:rsid w:val="00223755"/>
    <w:rsid w:val="00224D81"/>
    <w:rsid w:val="002252E0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7A7C"/>
    <w:rsid w:val="002613A5"/>
    <w:rsid w:val="002619DF"/>
    <w:rsid w:val="00262308"/>
    <w:rsid w:val="00262978"/>
    <w:rsid w:val="002629AF"/>
    <w:rsid w:val="00263F35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6CB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C3A"/>
    <w:rsid w:val="003A68B9"/>
    <w:rsid w:val="003B14E7"/>
    <w:rsid w:val="003B17BD"/>
    <w:rsid w:val="003B18FE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1D23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85F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29"/>
    <w:rsid w:val="00482330"/>
    <w:rsid w:val="00482545"/>
    <w:rsid w:val="00482993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748D"/>
    <w:rsid w:val="004A0837"/>
    <w:rsid w:val="004A2885"/>
    <w:rsid w:val="004A2D5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6B81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50E"/>
    <w:rsid w:val="004D3ADC"/>
    <w:rsid w:val="004D4C94"/>
    <w:rsid w:val="004D4CB6"/>
    <w:rsid w:val="004D628E"/>
    <w:rsid w:val="004D67B3"/>
    <w:rsid w:val="004D67FE"/>
    <w:rsid w:val="004D7506"/>
    <w:rsid w:val="004D7D0E"/>
    <w:rsid w:val="004E0007"/>
    <w:rsid w:val="004E0389"/>
    <w:rsid w:val="004E03A2"/>
    <w:rsid w:val="004E15F0"/>
    <w:rsid w:val="004E18C9"/>
    <w:rsid w:val="004E2014"/>
    <w:rsid w:val="004E2BC3"/>
    <w:rsid w:val="004E2BD4"/>
    <w:rsid w:val="004E3C57"/>
    <w:rsid w:val="004E4672"/>
    <w:rsid w:val="004E55F9"/>
    <w:rsid w:val="004E63B0"/>
    <w:rsid w:val="004E6725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F82"/>
    <w:rsid w:val="00500048"/>
    <w:rsid w:val="00501333"/>
    <w:rsid w:val="00501E21"/>
    <w:rsid w:val="00501F71"/>
    <w:rsid w:val="005024C4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39E9"/>
    <w:rsid w:val="0055514E"/>
    <w:rsid w:val="00555302"/>
    <w:rsid w:val="0055590F"/>
    <w:rsid w:val="00555C21"/>
    <w:rsid w:val="00556FDA"/>
    <w:rsid w:val="00560A5B"/>
    <w:rsid w:val="00561DDE"/>
    <w:rsid w:val="0056241C"/>
    <w:rsid w:val="00562463"/>
    <w:rsid w:val="00564013"/>
    <w:rsid w:val="00565035"/>
    <w:rsid w:val="00567BAE"/>
    <w:rsid w:val="0057004D"/>
    <w:rsid w:val="00571FE7"/>
    <w:rsid w:val="0057430A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644E"/>
    <w:rsid w:val="005D6C85"/>
    <w:rsid w:val="005D7ED4"/>
    <w:rsid w:val="005E067C"/>
    <w:rsid w:val="005E0DF0"/>
    <w:rsid w:val="005E1AE2"/>
    <w:rsid w:val="005E51EB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B41"/>
    <w:rsid w:val="00617DD0"/>
    <w:rsid w:val="00620787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7F8B"/>
    <w:rsid w:val="007A05D9"/>
    <w:rsid w:val="007A2707"/>
    <w:rsid w:val="007A2FAA"/>
    <w:rsid w:val="007A3AED"/>
    <w:rsid w:val="007A3CF9"/>
    <w:rsid w:val="007A44DE"/>
    <w:rsid w:val="007A480B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667"/>
    <w:rsid w:val="007D4DF9"/>
    <w:rsid w:val="007D52D6"/>
    <w:rsid w:val="007D5A13"/>
    <w:rsid w:val="007D70D0"/>
    <w:rsid w:val="007D7178"/>
    <w:rsid w:val="007D730C"/>
    <w:rsid w:val="007D7BB6"/>
    <w:rsid w:val="007E101A"/>
    <w:rsid w:val="007E24A1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D53"/>
    <w:rsid w:val="007F207E"/>
    <w:rsid w:val="007F273E"/>
    <w:rsid w:val="007F27F7"/>
    <w:rsid w:val="007F309C"/>
    <w:rsid w:val="007F6302"/>
    <w:rsid w:val="007F6D81"/>
    <w:rsid w:val="007F6F5D"/>
    <w:rsid w:val="007F70DE"/>
    <w:rsid w:val="007F7ACC"/>
    <w:rsid w:val="007F7E6D"/>
    <w:rsid w:val="007F7EE9"/>
    <w:rsid w:val="00800CFE"/>
    <w:rsid w:val="00800FB4"/>
    <w:rsid w:val="0080160B"/>
    <w:rsid w:val="008016D6"/>
    <w:rsid w:val="0080212B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16F5"/>
    <w:rsid w:val="00812A12"/>
    <w:rsid w:val="00812A91"/>
    <w:rsid w:val="00812D79"/>
    <w:rsid w:val="008135CF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A86"/>
    <w:rsid w:val="008343EF"/>
    <w:rsid w:val="00834719"/>
    <w:rsid w:val="0083493F"/>
    <w:rsid w:val="00834EE4"/>
    <w:rsid w:val="008351FA"/>
    <w:rsid w:val="008354B8"/>
    <w:rsid w:val="0083682F"/>
    <w:rsid w:val="00836FA8"/>
    <w:rsid w:val="008372B2"/>
    <w:rsid w:val="008377A6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5D6C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10CB"/>
    <w:rsid w:val="00902CF1"/>
    <w:rsid w:val="0090551B"/>
    <w:rsid w:val="009057B6"/>
    <w:rsid w:val="009062DB"/>
    <w:rsid w:val="009063F8"/>
    <w:rsid w:val="00906EA4"/>
    <w:rsid w:val="009104FB"/>
    <w:rsid w:val="00911548"/>
    <w:rsid w:val="009115E2"/>
    <w:rsid w:val="00911779"/>
    <w:rsid w:val="0091184C"/>
    <w:rsid w:val="009118D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34D2"/>
    <w:rsid w:val="00923628"/>
    <w:rsid w:val="0092374E"/>
    <w:rsid w:val="00924537"/>
    <w:rsid w:val="0092481A"/>
    <w:rsid w:val="00924A36"/>
    <w:rsid w:val="009255AA"/>
    <w:rsid w:val="009267EB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65D3"/>
    <w:rsid w:val="0093709A"/>
    <w:rsid w:val="0093793C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4BD1"/>
    <w:rsid w:val="00964F8E"/>
    <w:rsid w:val="009656C9"/>
    <w:rsid w:val="00965717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A3A"/>
    <w:rsid w:val="009910F8"/>
    <w:rsid w:val="009921C6"/>
    <w:rsid w:val="00992FA4"/>
    <w:rsid w:val="00993842"/>
    <w:rsid w:val="00993F8D"/>
    <w:rsid w:val="0099442C"/>
    <w:rsid w:val="00995D70"/>
    <w:rsid w:val="00995F79"/>
    <w:rsid w:val="009965C3"/>
    <w:rsid w:val="0099757A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3FA8"/>
    <w:rsid w:val="009E4535"/>
    <w:rsid w:val="009E5938"/>
    <w:rsid w:val="009E673F"/>
    <w:rsid w:val="009F04FB"/>
    <w:rsid w:val="009F16CC"/>
    <w:rsid w:val="009F1873"/>
    <w:rsid w:val="009F1933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9A0"/>
    <w:rsid w:val="00A2736D"/>
    <w:rsid w:val="00A2746F"/>
    <w:rsid w:val="00A27486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E62"/>
    <w:rsid w:val="00A54494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7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22F4"/>
    <w:rsid w:val="00AA24BC"/>
    <w:rsid w:val="00AA25D5"/>
    <w:rsid w:val="00AA2A61"/>
    <w:rsid w:val="00AA3638"/>
    <w:rsid w:val="00AA3F79"/>
    <w:rsid w:val="00AA412E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5156"/>
    <w:rsid w:val="00AB55BB"/>
    <w:rsid w:val="00AB5D14"/>
    <w:rsid w:val="00AB5F66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4F02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878E2"/>
    <w:rsid w:val="00B90C7D"/>
    <w:rsid w:val="00B91298"/>
    <w:rsid w:val="00B91AF4"/>
    <w:rsid w:val="00B9265F"/>
    <w:rsid w:val="00B9268F"/>
    <w:rsid w:val="00B926BD"/>
    <w:rsid w:val="00B94B75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C34"/>
    <w:rsid w:val="00BF15F9"/>
    <w:rsid w:val="00BF2D77"/>
    <w:rsid w:val="00BF3C28"/>
    <w:rsid w:val="00BF3C88"/>
    <w:rsid w:val="00BF3F08"/>
    <w:rsid w:val="00BF3FB0"/>
    <w:rsid w:val="00C003A4"/>
    <w:rsid w:val="00C00DE1"/>
    <w:rsid w:val="00C01BDE"/>
    <w:rsid w:val="00C032EC"/>
    <w:rsid w:val="00C04374"/>
    <w:rsid w:val="00C05041"/>
    <w:rsid w:val="00C0550E"/>
    <w:rsid w:val="00C0568C"/>
    <w:rsid w:val="00C05BAB"/>
    <w:rsid w:val="00C05FAF"/>
    <w:rsid w:val="00C071F2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4440"/>
    <w:rsid w:val="00C462C2"/>
    <w:rsid w:val="00C46CEB"/>
    <w:rsid w:val="00C46F24"/>
    <w:rsid w:val="00C472FC"/>
    <w:rsid w:val="00C47725"/>
    <w:rsid w:val="00C47919"/>
    <w:rsid w:val="00C501D0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7E5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2C8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76"/>
    <w:rsid w:val="00C84A8D"/>
    <w:rsid w:val="00C874A9"/>
    <w:rsid w:val="00C875E3"/>
    <w:rsid w:val="00C8766D"/>
    <w:rsid w:val="00C92BF5"/>
    <w:rsid w:val="00C93286"/>
    <w:rsid w:val="00C93F07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BE0"/>
    <w:rsid w:val="00CB2B5F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E06D4"/>
    <w:rsid w:val="00CE1155"/>
    <w:rsid w:val="00CE159E"/>
    <w:rsid w:val="00CE24F8"/>
    <w:rsid w:val="00CE3B8E"/>
    <w:rsid w:val="00CE3CC6"/>
    <w:rsid w:val="00CE3D9C"/>
    <w:rsid w:val="00CE4737"/>
    <w:rsid w:val="00CE47BE"/>
    <w:rsid w:val="00CE511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4697"/>
    <w:rsid w:val="00D6513D"/>
    <w:rsid w:val="00D65AD3"/>
    <w:rsid w:val="00D66341"/>
    <w:rsid w:val="00D67849"/>
    <w:rsid w:val="00D72B6E"/>
    <w:rsid w:val="00D73FB1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4373"/>
    <w:rsid w:val="00E653D4"/>
    <w:rsid w:val="00E65D1F"/>
    <w:rsid w:val="00E6652E"/>
    <w:rsid w:val="00E667B1"/>
    <w:rsid w:val="00E66EE3"/>
    <w:rsid w:val="00E6749A"/>
    <w:rsid w:val="00E679D6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2DF3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4C"/>
    <w:rsid w:val="00F575AA"/>
    <w:rsid w:val="00F57B15"/>
    <w:rsid w:val="00F602AD"/>
    <w:rsid w:val="00F60AC5"/>
    <w:rsid w:val="00F60BBC"/>
    <w:rsid w:val="00F60FEC"/>
    <w:rsid w:val="00F61A4B"/>
    <w:rsid w:val="00F61C17"/>
    <w:rsid w:val="00F63E87"/>
    <w:rsid w:val="00F655C5"/>
    <w:rsid w:val="00F670E6"/>
    <w:rsid w:val="00F678DB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B41542"/>
  <w15:docId w15:val="{366A7A60-C9F4-4106-BEE4-55C75FF5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F61C17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8A7AB-675C-4437-B21B-4CB3519DD7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661A0-30BE-46B6-B5E0-E88D87E9F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709F2-D969-492B-B902-BACAA72F430F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d02b7574-298d-4180-bdb3-baf93262dc8f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B431086-59BC-4EB3-87C5-09A1E8D9092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E32B9EA-9747-48CB-A90D-4A0D8A64B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</Template>
  <TotalTime>0</TotalTime>
  <Pages>2</Pages>
  <Words>411</Words>
  <Characters>2134</Characters>
  <Application>Microsoft Office Word</Application>
  <DocSecurity>0</DocSecurity>
  <Lines>62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2504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Mccormick, Jennifer (CMS/CM)</cp:lastModifiedBy>
  <cp:revision>2</cp:revision>
  <cp:lastPrinted>2010-12-02T16:45:00Z</cp:lastPrinted>
  <dcterms:created xsi:type="dcterms:W3CDTF">2024-11-18T19:44:00Z</dcterms:created>
  <dcterms:modified xsi:type="dcterms:W3CDTF">2024-11-18T19:44:00Z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0x01010095680200B789FC4AA0B94FBC2B087245</vt:lpwstr>
  </property>
</Properties>
</file>